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89" w:rsidRPr="007E5EE2" w:rsidRDefault="00253D89" w:rsidP="007E5EE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    Нередко возникают ситуации, особенно у людей пожилого возраста, при намерении положить свои накопления на банковский  вклад, когда  в банке сотрудники убеждают граждан выбрать вместо вклада «более выгодный инвестиционный продукт». Большинство граждан, полагая, что сами не особо разбираются в подобных вопросах </w:t>
      </w:r>
      <w:proofErr w:type="gramStart"/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>и</w:t>
      </w:r>
      <w:proofErr w:type="gramEnd"/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доверившись опыту и рассказам сотрудников банка заключают различные инвестиционные и страховые договоры со значительными рисками и комиссиями. Спустя время, если гражданам вдруг требуется снять определенную сумму раньше определенного договором времени, они обнаруживают, что при досрочном расторжении договора они теряют не только проценты, которые могли быть начислены, но и часть своих внесенных денежных средств.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7E5EE2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Р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азъясним самые распространенные финансовые 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продукты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‚ которые могут навязать в банке вместо заключения договора банковского вклада и как не перепутать вклад с другими финансовыми продуктами.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-Накопительное страхование жизни (НСЖ)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. Данный проду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кт вкл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ючает долгосрочные накопления и страхование жизни. По условиям некоторых договоров накопительного страхования, помимо первоначального взноса, вы должны делать регулярные взносы — например, раз в месяц, квартал или год. Иначе страховщик может разорвать договор и вы вообще ничего не получите назад. Вложения в эти продукты не застрахованы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государством. Денежные средства остаются на длительный срок, досрочное расторжение часто приводит к потерям, а доходность может не «перекрывать» инфляцию.   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-Паевые инвестиционные фонды (</w:t>
      </w:r>
      <w:proofErr w:type="spellStart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ПИФы</w:t>
      </w:r>
      <w:proofErr w:type="spellEnd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).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Денежные средства вкладываются в паи определённого фонда, который инвестирует их в ценные бумаги. В отличие от вклада, вложения в ценные бумаги действительно нередко приносят большую прибыль. Однако гарантий доходности и государственной страховки нет.  Доходность зависит от ситуации на фондовом рынке. 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-Индивидуальные инвестиционные счета (ИИС)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. Сотрудники банка предлагают  открыть брокерский счёт и вложить денежные средства в акции, облигации или другие инструменты. Потенциальная доходность может быть выше, чем по вкладу, но вместе с этим растёт и риск — вплоть до потери части капитала. Есть риск получить обратно меньше, чем было вложено изначально. </w:t>
      </w:r>
    </w:p>
    <w:p w:rsidR="00253D89" w:rsidRPr="007E5EE2" w:rsidRDefault="00253D89" w:rsidP="007E5EE2">
      <w:pPr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-Обезличенный металлический счет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(ОМС). На них зачисляются виртуальные граммы золота, серебра, платины, палладия. Цены на драгметаллы могут сильно колебаться, а при досрочном закрытии счёта есть риск потери части накоплений.  Можно покупать металл у банка и продавать ему в любое время и в любом количестве. Однако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сотрудники банка не всегда предупреждают о том, что цены на драгметаллы сильно колеблются. При вложениях на долгий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срок —</w:t>
      </w:r>
      <w:r w:rsidR="007E5EE2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hyperlink r:id="rId9" w:history="1">
        <w:r w:rsidRPr="007E5EE2">
          <w:rPr>
            <w:rFonts w:asciiTheme="majorHAnsi" w:eastAsia="Times New Roman" w:hAnsiTheme="majorHAnsi" w:cs="Times New Roman"/>
            <w:sz w:val="24"/>
            <w:szCs w:val="24"/>
            <w:lang w:eastAsia="ru-RU"/>
          </w:rPr>
          <w:t>инвестиции в золото и серебро</w:t>
        </w:r>
      </w:hyperlink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, как правило, действительно помогают обогнать инфляцию и сохранить сбережения. Но если вы захотите закрыть счет через короткий срок (несколько месяцев), может оказаться, что стоимость металлов упала — и  часть накоплений пропадет. Кроме того, средства на данном счете не попадают в систему страхования вкладов. Если банк лишится лицензии, государство не выплатит компенсацию.</w:t>
      </w:r>
    </w:p>
    <w:p w:rsidR="00253D89" w:rsidRPr="007E5EE2" w:rsidRDefault="00253D89" w:rsidP="007E5EE2">
      <w:pPr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Для того</w:t>
      </w:r>
      <w:proofErr w:type="gramStart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,</w:t>
      </w:r>
      <w:proofErr w:type="gramEnd"/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чтобы не попасться на продажу одного продукта под видом другого, рекомендуем: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В случае если Вы захотите заключить договор на приобретение финансового </w:t>
      </w:r>
      <w:proofErr w:type="gramStart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продукта</w:t>
      </w:r>
      <w:proofErr w:type="gramEnd"/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которым Вы никогда не сталкивались, не подписывайте договор сразу. Возьмите договор  домой, чтобы прочитать в спокойной обстановке. Прежде чем заключить договор необходимо  внимательно прочитать каждый пункт и убедиться, что вам все понятно (особенно разделы о досрочном расторжении, штрафах, комиссиях и возврате средств).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Кроме того, необходимо уточнять, застрахован ли государством оформляемый продукт. </w:t>
      </w:r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Так в случае отзыва у  банка </w:t>
      </w:r>
      <w:hyperlink r:id="rId10" w:history="1">
        <w:r w:rsidRPr="007E5EE2">
          <w:rPr>
            <w:rStyle w:val="a4"/>
            <w:rFonts w:asciiTheme="majorHAnsi" w:hAnsiTheme="majorHAnsi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лицензии</w:t>
        </w:r>
      </w:hyperlink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, можно рассчитывать на компенсацию в пределах 1,4 </w:t>
      </w:r>
      <w:proofErr w:type="gramStart"/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млн</w:t>
      </w:r>
      <w:proofErr w:type="gramEnd"/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 рублей.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Если сотрудник банка торопит и не дает вам спокойно изучить условия, уверяет, что это просто формальности, и дает на подпись сразу большое количество документов — это попытка ввести вас в заблуждение.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     Не стоит спешить, даже когда менеджеру удалось убедить вас в том, что страховой полис или инвестиции — подходящий для вас вариант. Сначала детально изучите информацию об особенностях и рисках этих инструментов. </w:t>
      </w:r>
    </w:p>
    <w:p w:rsidR="00253D89" w:rsidRPr="007E5EE2" w:rsidRDefault="007E5EE2" w:rsidP="007E5EE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253D89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Если есть сомнения в условиях продукта, лучше отказаться от его оформления. В случае нарушения Ваших прав со стороны финансовой организации (банка) можно обратиться с жалобой в Центральный банк России.  </w:t>
      </w:r>
    </w:p>
    <w:p w:rsidR="00B844A4" w:rsidRPr="007E5EE2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  <w:bookmarkStart w:id="0" w:name="_GoBack"/>
      <w:bookmarkEnd w:id="0"/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1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882A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 w:rsidRPr="00882A19">
        <w:rPr>
          <w:b/>
        </w:rPr>
        <w:drawing>
          <wp:anchor distT="0" distB="0" distL="114300" distR="114300" simplePos="0" relativeHeight="251658240" behindDoc="1" locked="0" layoutInCell="1" allowOverlap="1" wp14:anchorId="77012F5D" wp14:editId="0382E851">
            <wp:simplePos x="0" y="0"/>
            <wp:positionH relativeFrom="column">
              <wp:posOffset>424815</wp:posOffset>
            </wp:positionH>
            <wp:positionV relativeFrom="paragraph">
              <wp:posOffset>52070</wp:posOffset>
            </wp:positionV>
            <wp:extent cx="2051050" cy="1593850"/>
            <wp:effectExtent l="0" t="0" r="6350" b="6350"/>
            <wp:wrapTight wrapText="bothSides">
              <wp:wrapPolygon edited="0">
                <wp:start x="0" y="0"/>
                <wp:lineTo x="0" y="21428"/>
                <wp:lineTo x="21466" y="21428"/>
                <wp:lineTo x="214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882A19" w:rsidRDefault="00253D8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7E5EE2">
        <w:rPr>
          <w:rFonts w:ascii="Comic Sans MS" w:hAnsi="Comic Sans MS"/>
          <w:b/>
          <w:i/>
          <w:color w:val="0070C0"/>
          <w:sz w:val="40"/>
          <w:szCs w:val="40"/>
        </w:rPr>
        <w:t>КАКИЕ УСЛУГИ МОГУТ НАВЯЗАТЬ ВМЕСТО БАНКОВСКОГО ВКЛАДА</w:t>
      </w:r>
      <w:r w:rsidR="00F95719" w:rsidRPr="007E5EE2">
        <w:rPr>
          <w:rFonts w:ascii="Comic Sans MS" w:hAnsi="Comic Sans MS"/>
          <w:b/>
          <w:i/>
          <w:color w:val="0070C0"/>
          <w:sz w:val="40"/>
          <w:szCs w:val="40"/>
        </w:rPr>
        <w:br/>
      </w:r>
      <w:r w:rsidR="00F95719" w:rsidRPr="00882A19">
        <w:rPr>
          <w:rFonts w:ascii="Comic Sans MS" w:eastAsiaTheme="minorHAnsi" w:hAnsi="Comic Sans MS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DB" w:rsidRDefault="006649DB" w:rsidP="00535171">
      <w:pPr>
        <w:spacing w:after="0" w:line="240" w:lineRule="auto"/>
      </w:pPr>
      <w:r>
        <w:separator/>
      </w:r>
    </w:p>
  </w:endnote>
  <w:end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DB" w:rsidRDefault="006649DB" w:rsidP="00535171">
      <w:pPr>
        <w:spacing w:after="0" w:line="240" w:lineRule="auto"/>
      </w:pPr>
      <w:r>
        <w:separator/>
      </w:r>
    </w:p>
  </w:footnote>
  <w:foot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fbuz-u-obao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incult.info/article/u-banka-otozvali-litsenziy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incult.info/article/mify-i-pravda-o-dragotsennykh-metallakh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0D2D3-E19A-41BE-864A-3AAEE510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3</cp:revision>
  <cp:lastPrinted>2024-04-08T08:37:00Z</cp:lastPrinted>
  <dcterms:created xsi:type="dcterms:W3CDTF">2026-05-20T02:57:00Z</dcterms:created>
  <dcterms:modified xsi:type="dcterms:W3CDTF">2026-05-20T03:16:00Z</dcterms:modified>
</cp:coreProperties>
</file>